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2B" w:rsidRPr="00774D76" w:rsidRDefault="00CA0B2B" w:rsidP="00CA0B2B">
      <w:pPr>
        <w:ind w:firstLineChars="0" w:firstLine="0"/>
        <w:jc w:val="center"/>
        <w:rPr>
          <w:rFonts w:ascii="方正小标宋简体" w:eastAsia="方正小标宋简体" w:hAnsi="仿宋" w:cs="宋体"/>
          <w:color w:val="424242"/>
          <w:kern w:val="0"/>
          <w:sz w:val="40"/>
          <w:szCs w:val="30"/>
        </w:rPr>
      </w:pPr>
      <w:r w:rsidRPr="00774D76">
        <w:rPr>
          <w:rFonts w:ascii="方正小标宋简体" w:eastAsia="方正小标宋简体" w:hAnsi="仿宋" w:cs="宋体" w:hint="eastAsia"/>
          <w:color w:val="424242"/>
          <w:kern w:val="0"/>
          <w:sz w:val="40"/>
          <w:szCs w:val="30"/>
        </w:rPr>
        <w:t>评分指标体系与评分方法</w:t>
      </w:r>
    </w:p>
    <w:p w:rsidR="00CA0B2B" w:rsidRPr="00774D76" w:rsidRDefault="00CA0B2B" w:rsidP="00CA0B2B">
      <w:pPr>
        <w:ind w:firstLine="640"/>
        <w:rPr>
          <w:rFonts w:ascii="方正小标宋简体" w:eastAsia="方正小标宋简体" w:hAnsi="仿宋"/>
          <w:szCs w:val="32"/>
        </w:rPr>
      </w:pPr>
      <w:r>
        <w:rPr>
          <w:rFonts w:ascii="方正小标宋简体" w:eastAsia="方正小标宋简体" w:hAnsi="仿宋" w:hint="eastAsia"/>
          <w:szCs w:val="32"/>
        </w:rPr>
        <w:t>一</w:t>
      </w:r>
      <w:r w:rsidRPr="00774D76">
        <w:rPr>
          <w:rFonts w:ascii="方正小标宋简体" w:eastAsia="方正小标宋简体" w:hAnsi="仿宋" w:hint="eastAsia"/>
          <w:szCs w:val="32"/>
        </w:rPr>
        <w:t>、评分指标体系</w:t>
      </w:r>
    </w:p>
    <w:p w:rsidR="00CA0B2B" w:rsidRPr="00774D76" w:rsidRDefault="00CA0B2B" w:rsidP="00CA0B2B">
      <w:pPr>
        <w:ind w:firstLine="640"/>
        <w:rPr>
          <w:rFonts w:ascii="仿宋" w:eastAsia="仿宋" w:hAnsi="仿宋"/>
          <w:szCs w:val="32"/>
        </w:rPr>
      </w:pPr>
      <w:r w:rsidRPr="00774D76">
        <w:rPr>
          <w:rFonts w:ascii="仿宋" w:eastAsia="仿宋" w:hAnsi="仿宋" w:hint="eastAsia"/>
          <w:szCs w:val="32"/>
        </w:rPr>
        <w:t>评选定期存款银行的评分指标包括3个方面：经营状况、服务水平、利率水平，</w:t>
      </w:r>
      <w:r>
        <w:rPr>
          <w:rFonts w:ascii="仿宋" w:eastAsia="仿宋" w:hAnsi="仿宋" w:hint="eastAsia"/>
          <w:szCs w:val="32"/>
        </w:rPr>
        <w:t>得分</w:t>
      </w:r>
      <w:r w:rsidRPr="00774D76">
        <w:rPr>
          <w:rFonts w:ascii="仿宋" w:eastAsia="仿宋" w:hAnsi="仿宋" w:hint="eastAsia"/>
          <w:szCs w:val="32"/>
        </w:rPr>
        <w:t>分别为</w:t>
      </w:r>
      <w:r>
        <w:rPr>
          <w:rFonts w:ascii="仿宋" w:eastAsia="仿宋" w:hAnsi="仿宋" w:hint="eastAsia"/>
          <w:szCs w:val="32"/>
        </w:rPr>
        <w:t>45分</w:t>
      </w:r>
      <w:r w:rsidRPr="00774D76">
        <w:rPr>
          <w:rFonts w:ascii="仿宋" w:eastAsia="仿宋" w:hAnsi="仿宋" w:hint="eastAsia"/>
          <w:szCs w:val="32"/>
        </w:rPr>
        <w:t>、</w:t>
      </w:r>
      <w:r>
        <w:rPr>
          <w:rFonts w:ascii="仿宋" w:eastAsia="仿宋" w:hAnsi="仿宋" w:hint="eastAsia"/>
          <w:szCs w:val="32"/>
        </w:rPr>
        <w:t>20分</w:t>
      </w:r>
      <w:r w:rsidRPr="00774D76">
        <w:rPr>
          <w:rFonts w:ascii="仿宋" w:eastAsia="仿宋" w:hAnsi="仿宋" w:hint="eastAsia"/>
          <w:szCs w:val="32"/>
        </w:rPr>
        <w:t>、</w:t>
      </w:r>
      <w:r>
        <w:rPr>
          <w:rFonts w:ascii="仿宋" w:eastAsia="仿宋" w:hAnsi="仿宋" w:hint="eastAsia"/>
          <w:szCs w:val="32"/>
        </w:rPr>
        <w:t>35分</w:t>
      </w:r>
      <w:r w:rsidRPr="00774D76">
        <w:rPr>
          <w:rFonts w:ascii="仿宋" w:eastAsia="仿宋" w:hAnsi="仿宋" w:hint="eastAsia"/>
          <w:szCs w:val="32"/>
        </w:rPr>
        <w:t>（详见下表）。</w:t>
      </w:r>
      <w:bookmarkStart w:id="0" w:name="_GoBack"/>
      <w:bookmarkEnd w:id="0"/>
    </w:p>
    <w:tbl>
      <w:tblPr>
        <w:tblpPr w:leftFromText="180" w:rightFromText="180" w:vertAnchor="text" w:horzAnchor="margin" w:tblpY="189"/>
        <w:tblW w:w="8355" w:type="dxa"/>
        <w:tblBorders>
          <w:top w:val="outset" w:sz="6" w:space="0" w:color="00000A"/>
          <w:left w:val="outset" w:sz="6" w:space="0" w:color="00000A"/>
          <w:bottom w:val="outset" w:sz="6" w:space="0" w:color="00000A"/>
          <w:right w:val="outset" w:sz="6" w:space="0" w:color="00000A"/>
        </w:tblBorders>
        <w:shd w:val="clear" w:color="auto" w:fill="FFFFFF"/>
        <w:tblCellMar>
          <w:left w:w="0" w:type="dxa"/>
          <w:right w:w="0" w:type="dxa"/>
        </w:tblCellMar>
        <w:tblLook w:val="04A0" w:firstRow="1" w:lastRow="0" w:firstColumn="1" w:lastColumn="0" w:noHBand="0" w:noVBand="1"/>
      </w:tblPr>
      <w:tblGrid>
        <w:gridCol w:w="1685"/>
        <w:gridCol w:w="3553"/>
        <w:gridCol w:w="1280"/>
        <w:gridCol w:w="1837"/>
      </w:tblGrid>
      <w:tr w:rsidR="00CA0B2B" w:rsidRPr="00774D76" w:rsidTr="00620BF1">
        <w:trPr>
          <w:trHeight w:val="255"/>
        </w:trPr>
        <w:tc>
          <w:tcPr>
            <w:tcW w:w="168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类别</w:t>
            </w:r>
          </w:p>
        </w:tc>
        <w:tc>
          <w:tcPr>
            <w:tcW w:w="355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分项指标</w:t>
            </w:r>
          </w:p>
        </w:tc>
        <w:tc>
          <w:tcPr>
            <w:tcW w:w="12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权重</w:t>
            </w:r>
          </w:p>
        </w:tc>
        <w:tc>
          <w:tcPr>
            <w:tcW w:w="183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权重合计</w:t>
            </w:r>
          </w:p>
        </w:tc>
      </w:tr>
      <w:tr w:rsidR="00CA0B2B" w:rsidRPr="00774D76" w:rsidTr="00620BF1">
        <w:tc>
          <w:tcPr>
            <w:tcW w:w="1685"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经营状况</w:t>
            </w:r>
          </w:p>
        </w:tc>
        <w:tc>
          <w:tcPr>
            <w:tcW w:w="355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净资产总额</w:t>
            </w:r>
          </w:p>
        </w:tc>
        <w:tc>
          <w:tcPr>
            <w:tcW w:w="12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Pr>
                <w:rFonts w:ascii="仿宋" w:eastAsia="仿宋" w:hAnsi="仿宋" w:cs="宋体" w:hint="eastAsia"/>
                <w:color w:val="000000"/>
                <w:kern w:val="0"/>
                <w:szCs w:val="32"/>
              </w:rPr>
              <w:t>9</w:t>
            </w:r>
            <w:r>
              <w:rPr>
                <w:rFonts w:ascii="仿宋" w:eastAsia="仿宋" w:hAnsi="仿宋" w:hint="eastAsia"/>
                <w:szCs w:val="32"/>
              </w:rPr>
              <w:t>分</w:t>
            </w:r>
          </w:p>
        </w:tc>
        <w:tc>
          <w:tcPr>
            <w:tcW w:w="1837"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45</w:t>
            </w:r>
            <w:r>
              <w:rPr>
                <w:rFonts w:ascii="仿宋" w:eastAsia="仿宋" w:hAnsi="仿宋" w:hint="eastAsia"/>
                <w:szCs w:val="32"/>
              </w:rPr>
              <w:t>分</w:t>
            </w:r>
          </w:p>
        </w:tc>
      </w:tr>
      <w:tr w:rsidR="00CA0B2B" w:rsidRPr="00774D76" w:rsidTr="00620BF1">
        <w:tc>
          <w:tcPr>
            <w:tcW w:w="0" w:type="auto"/>
            <w:vMerge/>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left"/>
              <w:rPr>
                <w:rFonts w:ascii="仿宋" w:eastAsia="仿宋" w:hAnsi="仿宋" w:cs="宋体"/>
                <w:color w:val="333333"/>
                <w:kern w:val="0"/>
                <w:szCs w:val="32"/>
              </w:rPr>
            </w:pPr>
          </w:p>
        </w:tc>
        <w:tc>
          <w:tcPr>
            <w:tcW w:w="355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资本充足率</w:t>
            </w:r>
          </w:p>
        </w:tc>
        <w:tc>
          <w:tcPr>
            <w:tcW w:w="12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9</w:t>
            </w:r>
            <w:r>
              <w:rPr>
                <w:rFonts w:ascii="仿宋" w:eastAsia="仿宋" w:hAnsi="仿宋" w:hint="eastAsia"/>
                <w:szCs w:val="32"/>
              </w:rPr>
              <w:t>分</w:t>
            </w:r>
          </w:p>
        </w:tc>
        <w:tc>
          <w:tcPr>
            <w:tcW w:w="0" w:type="auto"/>
            <w:vMerge/>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left"/>
              <w:rPr>
                <w:rFonts w:ascii="仿宋" w:eastAsia="仿宋" w:hAnsi="仿宋" w:cs="宋体"/>
                <w:color w:val="333333"/>
                <w:kern w:val="0"/>
                <w:szCs w:val="32"/>
              </w:rPr>
            </w:pPr>
          </w:p>
        </w:tc>
      </w:tr>
      <w:tr w:rsidR="00CA0B2B" w:rsidRPr="00774D76" w:rsidTr="00620BF1">
        <w:tc>
          <w:tcPr>
            <w:tcW w:w="0" w:type="auto"/>
            <w:vMerge/>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left"/>
              <w:rPr>
                <w:rFonts w:ascii="仿宋" w:eastAsia="仿宋" w:hAnsi="仿宋" w:cs="宋体"/>
                <w:color w:val="333333"/>
                <w:kern w:val="0"/>
                <w:szCs w:val="32"/>
              </w:rPr>
            </w:pPr>
          </w:p>
        </w:tc>
        <w:tc>
          <w:tcPr>
            <w:tcW w:w="355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不良贷款率</w:t>
            </w:r>
          </w:p>
        </w:tc>
        <w:tc>
          <w:tcPr>
            <w:tcW w:w="12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9</w:t>
            </w:r>
            <w:r>
              <w:rPr>
                <w:rFonts w:ascii="仿宋" w:eastAsia="仿宋" w:hAnsi="仿宋" w:hint="eastAsia"/>
                <w:szCs w:val="32"/>
              </w:rPr>
              <w:t>分</w:t>
            </w:r>
          </w:p>
        </w:tc>
        <w:tc>
          <w:tcPr>
            <w:tcW w:w="0" w:type="auto"/>
            <w:vMerge/>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left"/>
              <w:rPr>
                <w:rFonts w:ascii="仿宋" w:eastAsia="仿宋" w:hAnsi="仿宋" w:cs="宋体"/>
                <w:color w:val="333333"/>
                <w:kern w:val="0"/>
                <w:szCs w:val="32"/>
              </w:rPr>
            </w:pPr>
          </w:p>
        </w:tc>
      </w:tr>
      <w:tr w:rsidR="00CA0B2B" w:rsidRPr="00774D76" w:rsidTr="00620BF1">
        <w:tc>
          <w:tcPr>
            <w:tcW w:w="0" w:type="auto"/>
            <w:vMerge/>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left"/>
              <w:rPr>
                <w:rFonts w:ascii="仿宋" w:eastAsia="仿宋" w:hAnsi="仿宋" w:cs="宋体"/>
                <w:color w:val="333333"/>
                <w:kern w:val="0"/>
                <w:szCs w:val="32"/>
              </w:rPr>
            </w:pPr>
          </w:p>
        </w:tc>
        <w:tc>
          <w:tcPr>
            <w:tcW w:w="355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资产利润率</w:t>
            </w:r>
          </w:p>
        </w:tc>
        <w:tc>
          <w:tcPr>
            <w:tcW w:w="12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9</w:t>
            </w:r>
            <w:r>
              <w:rPr>
                <w:rFonts w:ascii="仿宋" w:eastAsia="仿宋" w:hAnsi="仿宋" w:hint="eastAsia"/>
                <w:szCs w:val="32"/>
              </w:rPr>
              <w:t>分</w:t>
            </w:r>
          </w:p>
        </w:tc>
        <w:tc>
          <w:tcPr>
            <w:tcW w:w="0" w:type="auto"/>
            <w:vMerge/>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left"/>
              <w:rPr>
                <w:rFonts w:ascii="仿宋" w:eastAsia="仿宋" w:hAnsi="仿宋" w:cs="宋体"/>
                <w:color w:val="333333"/>
                <w:kern w:val="0"/>
                <w:szCs w:val="32"/>
              </w:rPr>
            </w:pPr>
          </w:p>
        </w:tc>
      </w:tr>
      <w:tr w:rsidR="00CA0B2B" w:rsidRPr="00774D76" w:rsidTr="00620BF1">
        <w:tc>
          <w:tcPr>
            <w:tcW w:w="0" w:type="auto"/>
            <w:vMerge/>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left"/>
              <w:rPr>
                <w:rFonts w:ascii="仿宋" w:eastAsia="仿宋" w:hAnsi="仿宋" w:cs="宋体"/>
                <w:color w:val="333333"/>
                <w:kern w:val="0"/>
                <w:szCs w:val="32"/>
              </w:rPr>
            </w:pPr>
          </w:p>
        </w:tc>
        <w:tc>
          <w:tcPr>
            <w:tcW w:w="355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0A74CF">
              <w:rPr>
                <w:rFonts w:ascii="仿宋" w:eastAsia="仿宋" w:hAnsi="仿宋" w:cs="宋体" w:hint="eastAsia"/>
                <w:color w:val="333333"/>
                <w:kern w:val="0"/>
                <w:szCs w:val="32"/>
              </w:rPr>
              <w:t>流动性比例</w:t>
            </w:r>
          </w:p>
        </w:tc>
        <w:tc>
          <w:tcPr>
            <w:tcW w:w="12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9</w:t>
            </w:r>
            <w:r>
              <w:rPr>
                <w:rFonts w:ascii="仿宋" w:eastAsia="仿宋" w:hAnsi="仿宋" w:hint="eastAsia"/>
                <w:szCs w:val="32"/>
              </w:rPr>
              <w:t>分</w:t>
            </w:r>
          </w:p>
        </w:tc>
        <w:tc>
          <w:tcPr>
            <w:tcW w:w="0" w:type="auto"/>
            <w:vMerge/>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left"/>
              <w:rPr>
                <w:rFonts w:ascii="仿宋" w:eastAsia="仿宋" w:hAnsi="仿宋" w:cs="宋体"/>
                <w:color w:val="333333"/>
                <w:kern w:val="0"/>
                <w:szCs w:val="32"/>
              </w:rPr>
            </w:pPr>
          </w:p>
        </w:tc>
      </w:tr>
      <w:tr w:rsidR="00CA0B2B" w:rsidRPr="00774D76" w:rsidTr="00620BF1">
        <w:tc>
          <w:tcPr>
            <w:tcW w:w="1685"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服务水平</w:t>
            </w:r>
          </w:p>
        </w:tc>
        <w:tc>
          <w:tcPr>
            <w:tcW w:w="355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Pr>
                <w:rFonts w:ascii="仿宋" w:eastAsia="仿宋" w:hAnsi="仿宋" w:cs="宋体" w:hint="eastAsia"/>
                <w:color w:val="000000"/>
                <w:kern w:val="0"/>
                <w:szCs w:val="32"/>
              </w:rPr>
              <w:t>服务</w:t>
            </w:r>
            <w:r w:rsidRPr="00774D76">
              <w:rPr>
                <w:rFonts w:ascii="仿宋" w:eastAsia="仿宋" w:hAnsi="仿宋" w:cs="宋体" w:hint="eastAsia"/>
                <w:color w:val="000000"/>
                <w:kern w:val="0"/>
                <w:szCs w:val="32"/>
              </w:rPr>
              <w:t>便利性</w:t>
            </w:r>
          </w:p>
        </w:tc>
        <w:tc>
          <w:tcPr>
            <w:tcW w:w="12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10</w:t>
            </w:r>
            <w:r>
              <w:rPr>
                <w:rFonts w:ascii="仿宋" w:eastAsia="仿宋" w:hAnsi="仿宋" w:hint="eastAsia"/>
                <w:szCs w:val="32"/>
              </w:rPr>
              <w:t>分</w:t>
            </w:r>
          </w:p>
        </w:tc>
        <w:tc>
          <w:tcPr>
            <w:tcW w:w="1837"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20</w:t>
            </w:r>
            <w:r>
              <w:rPr>
                <w:rFonts w:ascii="仿宋" w:eastAsia="仿宋" w:hAnsi="仿宋" w:hint="eastAsia"/>
                <w:szCs w:val="32"/>
              </w:rPr>
              <w:t>分</w:t>
            </w:r>
          </w:p>
        </w:tc>
      </w:tr>
      <w:tr w:rsidR="00CA0B2B" w:rsidRPr="00774D76" w:rsidTr="00620BF1">
        <w:tc>
          <w:tcPr>
            <w:tcW w:w="0" w:type="auto"/>
            <w:vMerge/>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left"/>
              <w:rPr>
                <w:rFonts w:ascii="仿宋" w:eastAsia="仿宋" w:hAnsi="仿宋" w:cs="宋体"/>
                <w:color w:val="333333"/>
                <w:kern w:val="0"/>
                <w:szCs w:val="32"/>
              </w:rPr>
            </w:pPr>
          </w:p>
        </w:tc>
        <w:tc>
          <w:tcPr>
            <w:tcW w:w="355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Default="00CA0B2B" w:rsidP="00620BF1">
            <w:pPr>
              <w:widowControl/>
              <w:spacing w:line="240" w:lineRule="auto"/>
              <w:ind w:firstLineChars="0" w:firstLine="0"/>
              <w:jc w:val="center"/>
              <w:rPr>
                <w:rFonts w:ascii="仿宋" w:eastAsia="仿宋" w:hAnsi="仿宋" w:cs="宋体"/>
                <w:color w:val="000000"/>
                <w:kern w:val="0"/>
                <w:szCs w:val="32"/>
              </w:rPr>
            </w:pPr>
            <w:r w:rsidRPr="00774D76">
              <w:rPr>
                <w:rFonts w:ascii="仿宋" w:eastAsia="仿宋" w:hAnsi="仿宋" w:cs="宋体" w:hint="eastAsia"/>
                <w:color w:val="000000"/>
                <w:kern w:val="0"/>
                <w:szCs w:val="32"/>
              </w:rPr>
              <w:t>支付结算、对账、</w:t>
            </w:r>
          </w:p>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分账能力</w:t>
            </w:r>
          </w:p>
        </w:tc>
        <w:tc>
          <w:tcPr>
            <w:tcW w:w="12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10</w:t>
            </w:r>
            <w:r>
              <w:rPr>
                <w:rFonts w:ascii="仿宋" w:eastAsia="仿宋" w:hAnsi="仿宋" w:hint="eastAsia"/>
                <w:szCs w:val="32"/>
              </w:rPr>
              <w:t>分</w:t>
            </w:r>
          </w:p>
        </w:tc>
        <w:tc>
          <w:tcPr>
            <w:tcW w:w="0" w:type="auto"/>
            <w:vMerge/>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left"/>
              <w:rPr>
                <w:rFonts w:ascii="仿宋" w:eastAsia="仿宋" w:hAnsi="仿宋" w:cs="宋体"/>
                <w:color w:val="333333"/>
                <w:kern w:val="0"/>
                <w:szCs w:val="32"/>
              </w:rPr>
            </w:pPr>
          </w:p>
        </w:tc>
      </w:tr>
      <w:tr w:rsidR="00CA0B2B" w:rsidRPr="00774D76" w:rsidTr="00620BF1">
        <w:trPr>
          <w:trHeight w:val="255"/>
        </w:trPr>
        <w:tc>
          <w:tcPr>
            <w:tcW w:w="168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利率水平</w:t>
            </w:r>
          </w:p>
        </w:tc>
        <w:tc>
          <w:tcPr>
            <w:tcW w:w="355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承诺利率</w:t>
            </w:r>
          </w:p>
        </w:tc>
        <w:tc>
          <w:tcPr>
            <w:tcW w:w="12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35</w:t>
            </w:r>
            <w:r>
              <w:rPr>
                <w:rFonts w:ascii="仿宋" w:eastAsia="仿宋" w:hAnsi="仿宋" w:hint="eastAsia"/>
                <w:szCs w:val="32"/>
              </w:rPr>
              <w:t>分</w:t>
            </w:r>
          </w:p>
        </w:tc>
        <w:tc>
          <w:tcPr>
            <w:tcW w:w="183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A0B2B" w:rsidRPr="00774D76" w:rsidRDefault="00CA0B2B" w:rsidP="00620BF1">
            <w:pPr>
              <w:widowControl/>
              <w:spacing w:line="240" w:lineRule="auto"/>
              <w:ind w:firstLineChars="0" w:firstLine="0"/>
              <w:jc w:val="center"/>
              <w:rPr>
                <w:rFonts w:ascii="仿宋" w:eastAsia="仿宋" w:hAnsi="仿宋" w:cs="宋体"/>
                <w:color w:val="333333"/>
                <w:kern w:val="0"/>
                <w:szCs w:val="32"/>
              </w:rPr>
            </w:pPr>
            <w:r w:rsidRPr="00774D76">
              <w:rPr>
                <w:rFonts w:ascii="仿宋" w:eastAsia="仿宋" w:hAnsi="仿宋" w:cs="宋体" w:hint="eastAsia"/>
                <w:color w:val="000000"/>
                <w:kern w:val="0"/>
                <w:szCs w:val="32"/>
              </w:rPr>
              <w:t>35</w:t>
            </w:r>
            <w:r>
              <w:rPr>
                <w:rFonts w:ascii="仿宋" w:eastAsia="仿宋" w:hAnsi="仿宋" w:hint="eastAsia"/>
                <w:szCs w:val="32"/>
              </w:rPr>
              <w:t>分</w:t>
            </w:r>
          </w:p>
        </w:tc>
      </w:tr>
    </w:tbl>
    <w:p w:rsidR="00CA0B2B" w:rsidRPr="00774D76" w:rsidRDefault="00CA0B2B" w:rsidP="00CA0B2B">
      <w:pPr>
        <w:ind w:firstLine="640"/>
        <w:rPr>
          <w:rFonts w:ascii="方正小标宋简体" w:eastAsia="方正小标宋简体" w:hAnsi="仿宋"/>
          <w:szCs w:val="32"/>
        </w:rPr>
      </w:pPr>
      <w:r>
        <w:rPr>
          <w:rFonts w:ascii="方正小标宋简体" w:eastAsia="方正小标宋简体" w:hAnsi="仿宋" w:hint="eastAsia"/>
          <w:szCs w:val="32"/>
        </w:rPr>
        <w:t>二</w:t>
      </w:r>
      <w:r w:rsidRPr="00774D76">
        <w:rPr>
          <w:rFonts w:ascii="方正小标宋简体" w:eastAsia="方正小标宋简体" w:hAnsi="仿宋" w:hint="eastAsia"/>
          <w:szCs w:val="32"/>
        </w:rPr>
        <w:t>、评分方法</w:t>
      </w:r>
    </w:p>
    <w:p w:rsidR="00CA0B2B" w:rsidRPr="00774D76" w:rsidRDefault="00CA0B2B" w:rsidP="00CA0B2B">
      <w:pPr>
        <w:ind w:firstLine="640"/>
        <w:rPr>
          <w:rFonts w:ascii="方正小标宋简体" w:eastAsia="方正小标宋简体"/>
          <w:szCs w:val="32"/>
        </w:rPr>
      </w:pPr>
      <w:r w:rsidRPr="00774D76">
        <w:rPr>
          <w:rFonts w:ascii="方正小标宋简体" w:eastAsia="方正小标宋简体" w:hint="eastAsia"/>
          <w:szCs w:val="32"/>
        </w:rPr>
        <w:t>（一）经营状况和利率水平指标计分方法。（45</w:t>
      </w:r>
      <w:r w:rsidRPr="00774D76">
        <w:rPr>
          <w:rFonts w:ascii="方正小标宋简体" w:eastAsia="方正小标宋简体" w:hAnsi="仿宋" w:hint="eastAsia"/>
          <w:szCs w:val="32"/>
        </w:rPr>
        <w:t>分</w:t>
      </w:r>
      <w:r w:rsidRPr="00774D76">
        <w:rPr>
          <w:rFonts w:ascii="方正小标宋简体" w:eastAsia="方正小标宋简体" w:hint="eastAsia"/>
          <w:szCs w:val="32"/>
        </w:rPr>
        <w:t>）</w:t>
      </w:r>
    </w:p>
    <w:p w:rsidR="00CA0B2B" w:rsidRPr="00774D76" w:rsidRDefault="00CA0B2B" w:rsidP="00CA0B2B">
      <w:pPr>
        <w:ind w:firstLine="640"/>
        <w:rPr>
          <w:szCs w:val="32"/>
        </w:rPr>
      </w:pPr>
      <w:r w:rsidRPr="00774D76">
        <w:rPr>
          <w:rFonts w:hint="eastAsia"/>
          <w:szCs w:val="32"/>
        </w:rPr>
        <w:t>经营状况类各项指标根据银行全行数据计算得出，银行已上市的，数据一般来源于已披露的最近一年的年度报告；银行未上市的，数据一般来源于最近一年经审计的年度报告。</w:t>
      </w:r>
    </w:p>
    <w:p w:rsidR="00CA0B2B" w:rsidRPr="00774D76" w:rsidRDefault="00CA0B2B" w:rsidP="00CA0B2B">
      <w:pPr>
        <w:ind w:firstLine="640"/>
        <w:rPr>
          <w:szCs w:val="32"/>
        </w:rPr>
      </w:pPr>
      <w:r w:rsidRPr="00774D76">
        <w:rPr>
          <w:rFonts w:hint="eastAsia"/>
          <w:szCs w:val="32"/>
        </w:rPr>
        <w:t>净资产总额、资本充足率、资产利润率、流动性比例、</w:t>
      </w:r>
      <w:r w:rsidRPr="00774D76">
        <w:rPr>
          <w:rFonts w:hint="eastAsia"/>
          <w:szCs w:val="32"/>
        </w:rPr>
        <w:lastRenderedPageBreak/>
        <w:t>利率水平得分的计算方法为：</w:t>
      </w:r>
    </w:p>
    <w:p w:rsidR="00CA0B2B" w:rsidRDefault="00CA0B2B" w:rsidP="00CA0B2B">
      <w:pPr>
        <w:ind w:firstLine="640"/>
        <w:rPr>
          <w:szCs w:val="32"/>
        </w:rPr>
      </w:pPr>
      <w:r w:rsidRPr="00774D76">
        <w:rPr>
          <w:rFonts w:hint="eastAsia"/>
          <w:szCs w:val="32"/>
        </w:rPr>
        <w:t>单项指标得分</w:t>
      </w:r>
      <w:r w:rsidRPr="00774D76">
        <w:rPr>
          <w:rFonts w:hint="eastAsia"/>
          <w:szCs w:val="32"/>
        </w:rPr>
        <w:t>=</w:t>
      </w:r>
      <w:r w:rsidRPr="00774D76">
        <w:rPr>
          <w:rFonts w:hint="eastAsia"/>
          <w:szCs w:val="32"/>
        </w:rPr>
        <w:t>（本机构单项指标数值</w:t>
      </w:r>
      <w:r w:rsidRPr="00774D76">
        <w:rPr>
          <w:rFonts w:hint="eastAsia"/>
          <w:szCs w:val="32"/>
        </w:rPr>
        <w:t>/</w:t>
      </w:r>
      <w:r w:rsidRPr="00774D76">
        <w:rPr>
          <w:rFonts w:hint="eastAsia"/>
          <w:szCs w:val="32"/>
        </w:rPr>
        <w:t>所有参评银行在本指标中的最大值）</w:t>
      </w:r>
      <w:r w:rsidRPr="00774D76">
        <w:rPr>
          <w:rFonts w:hint="eastAsia"/>
          <w:szCs w:val="32"/>
        </w:rPr>
        <w:t>*</w:t>
      </w:r>
      <w:r>
        <w:rPr>
          <w:rFonts w:hint="eastAsia"/>
          <w:szCs w:val="32"/>
        </w:rPr>
        <w:t>权重</w:t>
      </w:r>
      <w:r>
        <w:rPr>
          <w:szCs w:val="32"/>
        </w:rPr>
        <w:t>分值</w:t>
      </w:r>
      <w:r>
        <w:rPr>
          <w:rFonts w:hint="eastAsia"/>
          <w:szCs w:val="32"/>
        </w:rPr>
        <w:t>。</w:t>
      </w:r>
    </w:p>
    <w:p w:rsidR="00CA0B2B" w:rsidRPr="00774D76" w:rsidRDefault="00CA0B2B" w:rsidP="00CA0B2B">
      <w:pPr>
        <w:ind w:firstLine="640"/>
        <w:rPr>
          <w:szCs w:val="32"/>
        </w:rPr>
      </w:pPr>
      <w:r w:rsidRPr="00A03C40">
        <w:rPr>
          <w:rFonts w:hint="eastAsia"/>
          <w:szCs w:val="32"/>
        </w:rPr>
        <w:t>为避免因银行规模差距过大产生不平衡性，净资产总额指标中，指标数值大于参选银行指标数值中位数的银行得</w:t>
      </w:r>
      <w:r>
        <w:rPr>
          <w:rFonts w:hint="eastAsia"/>
          <w:szCs w:val="32"/>
        </w:rPr>
        <w:t>该项满</w:t>
      </w:r>
      <w:r w:rsidRPr="00A03C40">
        <w:rPr>
          <w:rFonts w:hint="eastAsia"/>
          <w:szCs w:val="32"/>
        </w:rPr>
        <w:t>分，指标数值小于中位数的银行以参选银行指标数值中位数为最大值进行计算打分。</w:t>
      </w:r>
      <w:r w:rsidRPr="00A03C40">
        <w:rPr>
          <w:rFonts w:hint="eastAsia"/>
          <w:szCs w:val="32"/>
        </w:rPr>
        <w:t xml:space="preserve">     </w:t>
      </w:r>
    </w:p>
    <w:p w:rsidR="00CA0B2B" w:rsidRPr="00774D76" w:rsidRDefault="00CA0B2B" w:rsidP="00CA0B2B">
      <w:pPr>
        <w:ind w:firstLine="640"/>
        <w:rPr>
          <w:szCs w:val="32"/>
        </w:rPr>
      </w:pPr>
      <w:r w:rsidRPr="00774D76">
        <w:rPr>
          <w:rFonts w:hint="eastAsia"/>
          <w:szCs w:val="32"/>
        </w:rPr>
        <w:t>不良贷款率得分计算方法为：</w:t>
      </w:r>
    </w:p>
    <w:p w:rsidR="00CA0B2B" w:rsidRPr="00774D76" w:rsidRDefault="00CA0B2B" w:rsidP="00CA0B2B">
      <w:pPr>
        <w:ind w:firstLine="640"/>
        <w:rPr>
          <w:szCs w:val="32"/>
        </w:rPr>
      </w:pPr>
      <w:r w:rsidRPr="00774D76">
        <w:rPr>
          <w:rFonts w:hint="eastAsia"/>
          <w:szCs w:val="32"/>
        </w:rPr>
        <w:t>不良贷款率得分</w:t>
      </w:r>
      <w:r w:rsidRPr="00774D76">
        <w:rPr>
          <w:rFonts w:hint="eastAsia"/>
          <w:szCs w:val="32"/>
        </w:rPr>
        <w:t>=</w:t>
      </w:r>
      <w:r w:rsidRPr="00774D76">
        <w:rPr>
          <w:rFonts w:hint="eastAsia"/>
          <w:szCs w:val="32"/>
        </w:rPr>
        <w:t>（所有参评银行在本指标中的最小值</w:t>
      </w:r>
      <w:r w:rsidRPr="00774D76">
        <w:rPr>
          <w:rFonts w:hint="eastAsia"/>
          <w:szCs w:val="32"/>
        </w:rPr>
        <w:t>/</w:t>
      </w:r>
      <w:r w:rsidRPr="00774D76">
        <w:rPr>
          <w:rFonts w:hint="eastAsia"/>
          <w:szCs w:val="32"/>
        </w:rPr>
        <w:t>本机构单项指标数值）</w:t>
      </w:r>
      <w:r w:rsidRPr="00774D76">
        <w:rPr>
          <w:rFonts w:hint="eastAsia"/>
          <w:szCs w:val="32"/>
        </w:rPr>
        <w:t>*</w:t>
      </w:r>
      <w:r>
        <w:rPr>
          <w:rFonts w:hint="eastAsia"/>
          <w:szCs w:val="32"/>
        </w:rPr>
        <w:t>权重</w:t>
      </w:r>
      <w:r>
        <w:rPr>
          <w:szCs w:val="32"/>
        </w:rPr>
        <w:t>分值</w:t>
      </w:r>
    </w:p>
    <w:p w:rsidR="00CA0B2B" w:rsidRPr="00774D76" w:rsidRDefault="00CA0B2B" w:rsidP="00CA0B2B">
      <w:pPr>
        <w:ind w:firstLine="640"/>
        <w:rPr>
          <w:rFonts w:ascii="方正小标宋简体" w:eastAsia="方正小标宋简体"/>
          <w:szCs w:val="32"/>
        </w:rPr>
      </w:pPr>
      <w:r w:rsidRPr="00774D76">
        <w:rPr>
          <w:rFonts w:ascii="方正小标宋简体" w:eastAsia="方正小标宋简体" w:hint="eastAsia"/>
          <w:szCs w:val="32"/>
        </w:rPr>
        <w:t>（二）服务水平指标计分方法，采用百分制打分。（20</w:t>
      </w:r>
      <w:r>
        <w:rPr>
          <w:rFonts w:ascii="方正小标宋简体" w:eastAsia="方正小标宋简体" w:hint="eastAsia"/>
          <w:szCs w:val="32"/>
        </w:rPr>
        <w:t>分</w:t>
      </w:r>
      <w:r w:rsidRPr="00774D76">
        <w:rPr>
          <w:rFonts w:ascii="方正小标宋简体" w:eastAsia="方正小标宋简体" w:hint="eastAsia"/>
          <w:szCs w:val="32"/>
        </w:rPr>
        <w:t>）</w:t>
      </w:r>
    </w:p>
    <w:p w:rsidR="00CA0B2B" w:rsidRPr="00FB6850" w:rsidRDefault="00CA0B2B" w:rsidP="00CA0B2B">
      <w:pPr>
        <w:ind w:firstLine="643"/>
        <w:rPr>
          <w:b/>
          <w:szCs w:val="32"/>
        </w:rPr>
      </w:pPr>
      <w:r w:rsidRPr="00FB6850">
        <w:rPr>
          <w:rFonts w:hint="eastAsia"/>
          <w:b/>
          <w:szCs w:val="32"/>
        </w:rPr>
        <w:t>1</w:t>
      </w:r>
      <w:r w:rsidRPr="00FB6850">
        <w:rPr>
          <w:rFonts w:hint="eastAsia"/>
          <w:b/>
          <w:szCs w:val="32"/>
        </w:rPr>
        <w:t>、服务便利性。（</w:t>
      </w:r>
      <w:r w:rsidRPr="00FB6850">
        <w:rPr>
          <w:rFonts w:hint="eastAsia"/>
          <w:b/>
          <w:szCs w:val="32"/>
        </w:rPr>
        <w:t>10</w:t>
      </w:r>
      <w:r w:rsidRPr="00FB6850">
        <w:rPr>
          <w:rFonts w:hint="eastAsia"/>
          <w:b/>
          <w:szCs w:val="32"/>
        </w:rPr>
        <w:t>分）</w:t>
      </w:r>
    </w:p>
    <w:p w:rsidR="00CA0B2B" w:rsidRPr="00774D76" w:rsidRDefault="00CA0B2B" w:rsidP="00CA0B2B">
      <w:pPr>
        <w:ind w:firstLine="640"/>
        <w:rPr>
          <w:szCs w:val="32"/>
        </w:rPr>
      </w:pPr>
      <w:r w:rsidRPr="00774D76">
        <w:rPr>
          <w:rFonts w:hint="eastAsia"/>
          <w:szCs w:val="32"/>
        </w:rPr>
        <w:t>（</w:t>
      </w:r>
      <w:r w:rsidRPr="00774D76">
        <w:rPr>
          <w:rFonts w:hint="eastAsia"/>
          <w:szCs w:val="32"/>
        </w:rPr>
        <w:t>1</w:t>
      </w:r>
      <w:r w:rsidRPr="00774D76">
        <w:rPr>
          <w:rFonts w:hint="eastAsia"/>
          <w:szCs w:val="32"/>
        </w:rPr>
        <w:t>）能够提供的银行业务上门服务</w:t>
      </w:r>
      <w:r>
        <w:rPr>
          <w:rFonts w:hint="eastAsia"/>
          <w:szCs w:val="32"/>
        </w:rPr>
        <w:t>及</w:t>
      </w:r>
      <w:r>
        <w:rPr>
          <w:szCs w:val="32"/>
        </w:rPr>
        <w:t>对公业务娴熟</w:t>
      </w:r>
      <w:r w:rsidRPr="00774D76">
        <w:rPr>
          <w:rFonts w:hint="eastAsia"/>
          <w:szCs w:val="32"/>
        </w:rPr>
        <w:t>；（</w:t>
      </w:r>
      <w:r>
        <w:rPr>
          <w:szCs w:val="32"/>
        </w:rPr>
        <w:t>3</w:t>
      </w:r>
      <w:r>
        <w:rPr>
          <w:rFonts w:hint="eastAsia"/>
          <w:szCs w:val="32"/>
        </w:rPr>
        <w:t>分</w:t>
      </w:r>
      <w:r w:rsidRPr="00774D76">
        <w:rPr>
          <w:rFonts w:hint="eastAsia"/>
          <w:szCs w:val="32"/>
        </w:rPr>
        <w:t>）</w:t>
      </w:r>
    </w:p>
    <w:p w:rsidR="00CA0B2B" w:rsidRPr="00774D76" w:rsidRDefault="00CA0B2B" w:rsidP="00CA0B2B">
      <w:pPr>
        <w:ind w:firstLine="640"/>
        <w:rPr>
          <w:szCs w:val="32"/>
        </w:rPr>
      </w:pPr>
      <w:r w:rsidRPr="00774D76">
        <w:rPr>
          <w:rFonts w:hint="eastAsia"/>
          <w:szCs w:val="32"/>
        </w:rPr>
        <w:t>（</w:t>
      </w:r>
      <w:r>
        <w:rPr>
          <w:szCs w:val="32"/>
        </w:rPr>
        <w:t>2</w:t>
      </w:r>
      <w:r w:rsidRPr="00774D76">
        <w:rPr>
          <w:rFonts w:hint="eastAsia"/>
          <w:szCs w:val="32"/>
        </w:rPr>
        <w:t>）能够提供的临时应急上门服务，响应速度快，上门时间短；（</w:t>
      </w:r>
      <w:r w:rsidRPr="00774D76">
        <w:rPr>
          <w:rFonts w:hint="eastAsia"/>
          <w:szCs w:val="32"/>
        </w:rPr>
        <w:t>3</w:t>
      </w:r>
      <w:r>
        <w:rPr>
          <w:rFonts w:hint="eastAsia"/>
          <w:szCs w:val="32"/>
        </w:rPr>
        <w:t>分</w:t>
      </w:r>
      <w:r w:rsidRPr="00774D76">
        <w:rPr>
          <w:rFonts w:hint="eastAsia"/>
          <w:szCs w:val="32"/>
        </w:rPr>
        <w:t>）</w:t>
      </w:r>
    </w:p>
    <w:p w:rsidR="00CA0B2B" w:rsidRPr="00774D76" w:rsidRDefault="00CA0B2B" w:rsidP="00CA0B2B">
      <w:pPr>
        <w:ind w:firstLine="640"/>
        <w:rPr>
          <w:szCs w:val="32"/>
        </w:rPr>
      </w:pPr>
      <w:r w:rsidRPr="00774D76">
        <w:rPr>
          <w:rFonts w:hint="eastAsia"/>
          <w:szCs w:val="32"/>
        </w:rPr>
        <w:t>（</w:t>
      </w:r>
      <w:r>
        <w:rPr>
          <w:szCs w:val="32"/>
        </w:rPr>
        <w:t>3</w:t>
      </w:r>
      <w:r w:rsidRPr="00774D76">
        <w:rPr>
          <w:rFonts w:hint="eastAsia"/>
          <w:szCs w:val="32"/>
        </w:rPr>
        <w:t>）提供的综合金融服务方案</w:t>
      </w:r>
      <w:r>
        <w:rPr>
          <w:rFonts w:hint="eastAsia"/>
          <w:szCs w:val="32"/>
        </w:rPr>
        <w:t>及</w:t>
      </w:r>
      <w:r w:rsidRPr="00774D76">
        <w:rPr>
          <w:rFonts w:hint="eastAsia"/>
          <w:szCs w:val="32"/>
        </w:rPr>
        <w:t>专业团队服务</w:t>
      </w:r>
      <w:r>
        <w:rPr>
          <w:rFonts w:hint="eastAsia"/>
          <w:szCs w:val="32"/>
        </w:rPr>
        <w:t>。</w:t>
      </w:r>
      <w:r w:rsidRPr="00774D76">
        <w:rPr>
          <w:rFonts w:hint="eastAsia"/>
          <w:szCs w:val="32"/>
        </w:rPr>
        <w:t>（</w:t>
      </w:r>
      <w:r>
        <w:rPr>
          <w:szCs w:val="32"/>
        </w:rPr>
        <w:t>4</w:t>
      </w:r>
      <w:r>
        <w:rPr>
          <w:rFonts w:hint="eastAsia"/>
          <w:szCs w:val="32"/>
        </w:rPr>
        <w:t>分</w:t>
      </w:r>
      <w:r w:rsidRPr="00774D76">
        <w:rPr>
          <w:rFonts w:hint="eastAsia"/>
          <w:szCs w:val="32"/>
        </w:rPr>
        <w:t>）</w:t>
      </w:r>
    </w:p>
    <w:p w:rsidR="00CA0B2B" w:rsidRPr="00FB6850" w:rsidRDefault="00CA0B2B" w:rsidP="00CA0B2B">
      <w:pPr>
        <w:ind w:firstLine="643"/>
        <w:rPr>
          <w:b/>
          <w:szCs w:val="32"/>
        </w:rPr>
      </w:pPr>
      <w:r w:rsidRPr="00FB6850">
        <w:rPr>
          <w:rFonts w:hint="eastAsia"/>
          <w:b/>
          <w:szCs w:val="32"/>
        </w:rPr>
        <w:t>2</w:t>
      </w:r>
      <w:r w:rsidRPr="00FB6850">
        <w:rPr>
          <w:rFonts w:hint="eastAsia"/>
          <w:b/>
          <w:szCs w:val="32"/>
        </w:rPr>
        <w:t>、银行支付结算、对账、分账核算能力水平。（</w:t>
      </w:r>
      <w:r w:rsidRPr="00FB6850">
        <w:rPr>
          <w:rFonts w:hint="eastAsia"/>
          <w:b/>
          <w:szCs w:val="32"/>
        </w:rPr>
        <w:t>10</w:t>
      </w:r>
      <w:r w:rsidRPr="00FB6850">
        <w:rPr>
          <w:rFonts w:hint="eastAsia"/>
          <w:b/>
          <w:szCs w:val="32"/>
        </w:rPr>
        <w:t>分）</w:t>
      </w:r>
    </w:p>
    <w:p w:rsidR="00CA0B2B" w:rsidRPr="00774D76" w:rsidRDefault="00CA0B2B" w:rsidP="00CA0B2B">
      <w:pPr>
        <w:ind w:firstLine="640"/>
        <w:rPr>
          <w:szCs w:val="32"/>
        </w:rPr>
      </w:pPr>
      <w:r w:rsidRPr="00774D76">
        <w:rPr>
          <w:rFonts w:hint="eastAsia"/>
          <w:szCs w:val="32"/>
        </w:rPr>
        <w:t>（</w:t>
      </w:r>
      <w:r w:rsidRPr="00774D76">
        <w:rPr>
          <w:rFonts w:hint="eastAsia"/>
          <w:szCs w:val="32"/>
        </w:rPr>
        <w:t>1</w:t>
      </w:r>
      <w:r w:rsidRPr="00774D76">
        <w:rPr>
          <w:rFonts w:hint="eastAsia"/>
          <w:szCs w:val="32"/>
        </w:rPr>
        <w:t>）有中央预算单位服务经验的；（</w:t>
      </w:r>
      <w:r>
        <w:rPr>
          <w:rFonts w:hint="eastAsia"/>
          <w:szCs w:val="32"/>
        </w:rPr>
        <w:t>1</w:t>
      </w:r>
      <w:r>
        <w:rPr>
          <w:rFonts w:hint="eastAsia"/>
          <w:szCs w:val="32"/>
        </w:rPr>
        <w:t>分</w:t>
      </w:r>
      <w:r w:rsidRPr="00774D76">
        <w:rPr>
          <w:rFonts w:hint="eastAsia"/>
          <w:szCs w:val="32"/>
        </w:rPr>
        <w:t>）</w:t>
      </w:r>
    </w:p>
    <w:p w:rsidR="00CA0B2B" w:rsidRDefault="00CA0B2B" w:rsidP="00CA0B2B">
      <w:pPr>
        <w:ind w:firstLine="640"/>
        <w:rPr>
          <w:szCs w:val="32"/>
        </w:rPr>
      </w:pPr>
      <w:r w:rsidRPr="00774D76">
        <w:rPr>
          <w:rFonts w:hint="eastAsia"/>
          <w:szCs w:val="32"/>
        </w:rPr>
        <w:t>（</w:t>
      </w:r>
      <w:r w:rsidRPr="00774D76">
        <w:rPr>
          <w:rFonts w:hint="eastAsia"/>
          <w:szCs w:val="32"/>
        </w:rPr>
        <w:t>2</w:t>
      </w:r>
      <w:r w:rsidRPr="00774D76">
        <w:rPr>
          <w:rFonts w:hint="eastAsia"/>
          <w:szCs w:val="32"/>
        </w:rPr>
        <w:t>）</w:t>
      </w:r>
      <w:r w:rsidRPr="00634282">
        <w:rPr>
          <w:rFonts w:hint="eastAsia"/>
          <w:szCs w:val="32"/>
        </w:rPr>
        <w:t>能制定符合单位具体业务需要的创新或特色</w:t>
      </w:r>
      <w:r>
        <w:rPr>
          <w:rFonts w:hint="eastAsia"/>
          <w:szCs w:val="32"/>
        </w:rPr>
        <w:t>结算支付</w:t>
      </w:r>
      <w:r w:rsidRPr="00634282">
        <w:rPr>
          <w:rFonts w:hint="eastAsia"/>
          <w:szCs w:val="32"/>
        </w:rPr>
        <w:t>服务的</w:t>
      </w:r>
      <w:r w:rsidRPr="00774D76">
        <w:rPr>
          <w:rFonts w:hint="eastAsia"/>
          <w:szCs w:val="32"/>
        </w:rPr>
        <w:t>；（</w:t>
      </w:r>
      <w:r>
        <w:rPr>
          <w:szCs w:val="32"/>
        </w:rPr>
        <w:t>3</w:t>
      </w:r>
      <w:r>
        <w:rPr>
          <w:rFonts w:hint="eastAsia"/>
          <w:szCs w:val="32"/>
        </w:rPr>
        <w:t>分</w:t>
      </w:r>
      <w:r w:rsidRPr="00774D76">
        <w:rPr>
          <w:rFonts w:hint="eastAsia"/>
          <w:szCs w:val="32"/>
        </w:rPr>
        <w:t>）</w:t>
      </w:r>
    </w:p>
    <w:p w:rsidR="00CA0B2B" w:rsidRPr="00774D76" w:rsidRDefault="00CA0B2B" w:rsidP="00CA0B2B">
      <w:pPr>
        <w:ind w:firstLine="640"/>
        <w:rPr>
          <w:szCs w:val="32"/>
        </w:rPr>
      </w:pPr>
      <w:r w:rsidRPr="00774D76">
        <w:rPr>
          <w:rFonts w:hint="eastAsia"/>
          <w:szCs w:val="32"/>
        </w:rPr>
        <w:t>（</w:t>
      </w:r>
      <w:r w:rsidRPr="00774D76">
        <w:rPr>
          <w:rFonts w:hint="eastAsia"/>
          <w:szCs w:val="32"/>
        </w:rPr>
        <w:t>3</w:t>
      </w:r>
      <w:r w:rsidRPr="00774D76">
        <w:rPr>
          <w:rFonts w:hint="eastAsia"/>
          <w:szCs w:val="32"/>
        </w:rPr>
        <w:t>）能提供的准确、快速落实支付结算、分账核算服务；</w:t>
      </w:r>
      <w:r w:rsidRPr="00774D76">
        <w:rPr>
          <w:rFonts w:hint="eastAsia"/>
          <w:szCs w:val="32"/>
        </w:rPr>
        <w:lastRenderedPageBreak/>
        <w:t>（</w:t>
      </w:r>
      <w:r>
        <w:rPr>
          <w:szCs w:val="32"/>
        </w:rPr>
        <w:t>3</w:t>
      </w:r>
      <w:r>
        <w:rPr>
          <w:rFonts w:hint="eastAsia"/>
          <w:szCs w:val="32"/>
        </w:rPr>
        <w:t>分</w:t>
      </w:r>
      <w:r w:rsidRPr="00774D76">
        <w:rPr>
          <w:rFonts w:hint="eastAsia"/>
          <w:szCs w:val="32"/>
        </w:rPr>
        <w:t>）</w:t>
      </w:r>
    </w:p>
    <w:p w:rsidR="00CA0B2B" w:rsidRPr="00774D76" w:rsidRDefault="00CA0B2B" w:rsidP="00CA0B2B">
      <w:pPr>
        <w:ind w:firstLine="640"/>
        <w:rPr>
          <w:szCs w:val="32"/>
        </w:rPr>
      </w:pPr>
      <w:r w:rsidRPr="00774D76">
        <w:rPr>
          <w:rFonts w:hint="eastAsia"/>
          <w:szCs w:val="32"/>
        </w:rPr>
        <w:t>（</w:t>
      </w:r>
      <w:r w:rsidRPr="00774D76">
        <w:rPr>
          <w:rFonts w:hint="eastAsia"/>
          <w:szCs w:val="32"/>
        </w:rPr>
        <w:t>4</w:t>
      </w:r>
      <w:r w:rsidRPr="00774D76">
        <w:rPr>
          <w:rFonts w:hint="eastAsia"/>
          <w:szCs w:val="32"/>
        </w:rPr>
        <w:t>）</w:t>
      </w:r>
      <w:r w:rsidRPr="008F5221">
        <w:rPr>
          <w:rFonts w:hint="eastAsia"/>
          <w:szCs w:val="32"/>
        </w:rPr>
        <w:t>依法开展经营活动，近</w:t>
      </w:r>
      <w:r w:rsidRPr="008F5221">
        <w:rPr>
          <w:rFonts w:hint="eastAsia"/>
          <w:szCs w:val="32"/>
        </w:rPr>
        <w:t>3</w:t>
      </w:r>
      <w:r w:rsidRPr="008F5221">
        <w:rPr>
          <w:rFonts w:hint="eastAsia"/>
          <w:szCs w:val="32"/>
        </w:rPr>
        <w:t>年内在经营活动中</w:t>
      </w:r>
      <w:r w:rsidRPr="008F5221">
        <w:rPr>
          <w:rFonts w:hint="eastAsia"/>
          <w:szCs w:val="32"/>
        </w:rPr>
        <w:t xml:space="preserve"> </w:t>
      </w:r>
      <w:r w:rsidRPr="008F5221">
        <w:rPr>
          <w:rFonts w:hint="eastAsia"/>
          <w:szCs w:val="32"/>
        </w:rPr>
        <w:t>无重大违法违规记录，</w:t>
      </w:r>
      <w:r>
        <w:rPr>
          <w:rFonts w:hint="eastAsia"/>
          <w:szCs w:val="32"/>
        </w:rPr>
        <w:t>银行</w:t>
      </w:r>
      <w:r w:rsidRPr="008F5221">
        <w:rPr>
          <w:rFonts w:hint="eastAsia"/>
          <w:szCs w:val="32"/>
        </w:rPr>
        <w:t>信誉</w:t>
      </w:r>
      <w:r>
        <w:rPr>
          <w:rFonts w:hint="eastAsia"/>
          <w:szCs w:val="32"/>
        </w:rPr>
        <w:t>及</w:t>
      </w:r>
      <w:r>
        <w:rPr>
          <w:szCs w:val="32"/>
        </w:rPr>
        <w:t>商誉</w:t>
      </w:r>
      <w:r w:rsidRPr="008F5221">
        <w:rPr>
          <w:rFonts w:hint="eastAsia"/>
          <w:szCs w:val="32"/>
        </w:rPr>
        <w:t>良好</w:t>
      </w:r>
      <w:r w:rsidRPr="00774D76">
        <w:rPr>
          <w:rFonts w:hint="eastAsia"/>
          <w:szCs w:val="32"/>
        </w:rPr>
        <w:t>。（</w:t>
      </w:r>
      <w:r>
        <w:rPr>
          <w:szCs w:val="32"/>
        </w:rPr>
        <w:t>3</w:t>
      </w:r>
      <w:r>
        <w:rPr>
          <w:rFonts w:hint="eastAsia"/>
          <w:szCs w:val="32"/>
        </w:rPr>
        <w:t>分</w:t>
      </w:r>
      <w:r w:rsidRPr="00774D76">
        <w:rPr>
          <w:rFonts w:hint="eastAsia"/>
          <w:szCs w:val="32"/>
        </w:rPr>
        <w:t>）</w:t>
      </w:r>
    </w:p>
    <w:p w:rsidR="00CA0B2B" w:rsidRDefault="00CA0B2B" w:rsidP="00CA0B2B">
      <w:pPr>
        <w:ind w:firstLine="640"/>
        <w:rPr>
          <w:rFonts w:ascii="方正小标宋简体" w:eastAsia="方正小标宋简体"/>
          <w:szCs w:val="32"/>
        </w:rPr>
      </w:pPr>
      <w:r>
        <w:rPr>
          <w:rFonts w:ascii="方正小标宋简体" w:eastAsia="方正小标宋简体" w:hint="eastAsia"/>
          <w:szCs w:val="32"/>
        </w:rPr>
        <w:t>（三）利率水平指标得分。（3</w:t>
      </w:r>
      <w:r>
        <w:rPr>
          <w:rFonts w:ascii="方正小标宋简体" w:eastAsia="方正小标宋简体"/>
          <w:szCs w:val="32"/>
        </w:rPr>
        <w:t>5</w:t>
      </w:r>
      <w:r>
        <w:rPr>
          <w:rFonts w:ascii="方正小标宋简体" w:eastAsia="方正小标宋简体" w:hint="eastAsia"/>
          <w:szCs w:val="32"/>
        </w:rPr>
        <w:t>分）</w:t>
      </w:r>
    </w:p>
    <w:p w:rsidR="00CA0B2B" w:rsidRDefault="00CA0B2B" w:rsidP="00CA0B2B">
      <w:pPr>
        <w:ind w:firstLine="640"/>
        <w:rPr>
          <w:szCs w:val="32"/>
        </w:rPr>
      </w:pPr>
      <w:r w:rsidRPr="00774D76">
        <w:rPr>
          <w:rFonts w:hint="eastAsia"/>
          <w:szCs w:val="32"/>
        </w:rPr>
        <w:t>最高的得满分，其他竞标银行按与第</w:t>
      </w:r>
      <w:r w:rsidRPr="00774D76">
        <w:rPr>
          <w:rFonts w:hint="eastAsia"/>
          <w:szCs w:val="32"/>
        </w:rPr>
        <w:t>1</w:t>
      </w:r>
      <w:r w:rsidRPr="00774D76">
        <w:rPr>
          <w:rFonts w:hint="eastAsia"/>
          <w:szCs w:val="32"/>
        </w:rPr>
        <w:t>名的占比计分，计算公式：（竞标银行定期存款收益率</w:t>
      </w:r>
      <w:r w:rsidRPr="00774D76">
        <w:rPr>
          <w:rFonts w:hint="eastAsia"/>
          <w:szCs w:val="32"/>
        </w:rPr>
        <w:t>/</w:t>
      </w:r>
      <w:r w:rsidRPr="00774D76">
        <w:rPr>
          <w:rFonts w:hint="eastAsia"/>
          <w:szCs w:val="32"/>
        </w:rPr>
        <w:t>定期存款收益率最高值×</w:t>
      </w:r>
      <w:r>
        <w:rPr>
          <w:szCs w:val="32"/>
        </w:rPr>
        <w:t>35</w:t>
      </w:r>
      <w:r w:rsidRPr="00774D76">
        <w:rPr>
          <w:rFonts w:hint="eastAsia"/>
          <w:szCs w:val="32"/>
        </w:rPr>
        <w:t>）</w:t>
      </w:r>
    </w:p>
    <w:p w:rsidR="00CA0B2B" w:rsidRPr="00774D76" w:rsidRDefault="00CA0B2B" w:rsidP="00CA0B2B">
      <w:pPr>
        <w:ind w:firstLine="640"/>
        <w:rPr>
          <w:rFonts w:ascii="方正小标宋简体" w:eastAsia="方正小标宋简体"/>
          <w:szCs w:val="32"/>
        </w:rPr>
      </w:pPr>
      <w:r w:rsidRPr="00774D76">
        <w:rPr>
          <w:rFonts w:ascii="方正小标宋简体" w:eastAsia="方正小标宋简体" w:hint="eastAsia"/>
          <w:szCs w:val="32"/>
        </w:rPr>
        <w:t>（四）总分计算方法。</w:t>
      </w:r>
    </w:p>
    <w:p w:rsidR="00CA0B2B" w:rsidRPr="00FB6850" w:rsidRDefault="00CA0B2B" w:rsidP="00CA0B2B">
      <w:pPr>
        <w:ind w:firstLine="640"/>
        <w:rPr>
          <w:rFonts w:ascii="方正小标宋简体" w:eastAsia="方正小标宋简体"/>
          <w:szCs w:val="32"/>
        </w:rPr>
      </w:pPr>
      <w:r w:rsidRPr="00FB6850">
        <w:rPr>
          <w:rFonts w:ascii="方正小标宋简体" w:eastAsia="方正小标宋简体" w:hint="eastAsia"/>
          <w:szCs w:val="32"/>
        </w:rPr>
        <w:t>单个评选人员对某个银行评分=∑经营状况中单项指标得分+∑服务水平中单项指标得分+利率水平指标得分</w:t>
      </w:r>
    </w:p>
    <w:p w:rsidR="00CA0B2B" w:rsidRPr="00774D76" w:rsidRDefault="00CA0B2B" w:rsidP="00CA0B2B">
      <w:pPr>
        <w:ind w:firstLine="640"/>
        <w:rPr>
          <w:szCs w:val="32"/>
        </w:rPr>
      </w:pPr>
      <w:r w:rsidRPr="00774D76">
        <w:rPr>
          <w:rFonts w:hint="eastAsia"/>
          <w:szCs w:val="32"/>
        </w:rPr>
        <w:t>参评银行最终得分为评选委员会中全体评选人员评分的算术平均数。评选委员会人数在</w:t>
      </w:r>
      <w:r w:rsidRPr="00774D76">
        <w:rPr>
          <w:rFonts w:hint="eastAsia"/>
          <w:szCs w:val="32"/>
        </w:rPr>
        <w:t>5</w:t>
      </w:r>
      <w:r w:rsidRPr="00774D76">
        <w:rPr>
          <w:rFonts w:hint="eastAsia"/>
          <w:szCs w:val="32"/>
        </w:rPr>
        <w:t>人以上的，参评银行最终得分为去掉全体评选人员评分中最高分和最低分后的算术平均数。</w:t>
      </w:r>
    </w:p>
    <w:p w:rsidR="00CA0B2B" w:rsidRPr="00774D76" w:rsidRDefault="00CA0B2B" w:rsidP="00CA0B2B">
      <w:pPr>
        <w:ind w:firstLine="640"/>
        <w:rPr>
          <w:rFonts w:ascii="仿宋" w:eastAsia="仿宋" w:hAnsi="仿宋"/>
          <w:szCs w:val="32"/>
        </w:rPr>
      </w:pPr>
    </w:p>
    <w:p w:rsidR="009B0227" w:rsidRPr="00CA0B2B" w:rsidRDefault="009B0227">
      <w:pPr>
        <w:ind w:firstLine="640"/>
      </w:pPr>
    </w:p>
    <w:sectPr w:rsidR="009B0227" w:rsidRPr="00CA0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6C0" w:rsidRDefault="00ED46C0" w:rsidP="00CA0B2B">
      <w:pPr>
        <w:spacing w:line="240" w:lineRule="auto"/>
        <w:ind w:firstLine="640"/>
      </w:pPr>
      <w:r>
        <w:separator/>
      </w:r>
    </w:p>
  </w:endnote>
  <w:endnote w:type="continuationSeparator" w:id="0">
    <w:p w:rsidR="00ED46C0" w:rsidRDefault="00ED46C0" w:rsidP="00CA0B2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6C0" w:rsidRDefault="00ED46C0" w:rsidP="00CA0B2B">
      <w:pPr>
        <w:spacing w:line="240" w:lineRule="auto"/>
        <w:ind w:firstLine="640"/>
      </w:pPr>
      <w:r>
        <w:separator/>
      </w:r>
    </w:p>
  </w:footnote>
  <w:footnote w:type="continuationSeparator" w:id="0">
    <w:p w:rsidR="00ED46C0" w:rsidRDefault="00ED46C0" w:rsidP="00CA0B2B">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49"/>
    <w:rsid w:val="00947349"/>
    <w:rsid w:val="009B0227"/>
    <w:rsid w:val="00CA0B2B"/>
    <w:rsid w:val="00ED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46FE5C-211E-447F-94F1-DF036F1B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B2B"/>
    <w:pPr>
      <w:widowControl w:val="0"/>
      <w:spacing w:line="360" w:lineRule="auto"/>
      <w:ind w:firstLineChars="200" w:firstLine="20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B2B"/>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Char">
    <w:name w:val="页眉 Char"/>
    <w:basedOn w:val="a0"/>
    <w:link w:val="a3"/>
    <w:uiPriority w:val="99"/>
    <w:rsid w:val="00CA0B2B"/>
    <w:rPr>
      <w:sz w:val="18"/>
      <w:szCs w:val="18"/>
    </w:rPr>
  </w:style>
  <w:style w:type="paragraph" w:styleId="a4">
    <w:name w:val="footer"/>
    <w:basedOn w:val="a"/>
    <w:link w:val="Char0"/>
    <w:uiPriority w:val="99"/>
    <w:unhideWhenUsed/>
    <w:rsid w:val="00CA0B2B"/>
    <w:pPr>
      <w:tabs>
        <w:tab w:val="center" w:pos="4153"/>
        <w:tab w:val="right" w:pos="8306"/>
      </w:tabs>
      <w:snapToGrid w:val="0"/>
      <w:spacing w:line="240" w:lineRule="auto"/>
      <w:ind w:firstLineChars="0" w:firstLine="0"/>
      <w:jc w:val="left"/>
    </w:pPr>
    <w:rPr>
      <w:rFonts w:eastAsiaTheme="minorEastAsia"/>
      <w:sz w:val="18"/>
      <w:szCs w:val="18"/>
    </w:rPr>
  </w:style>
  <w:style w:type="character" w:customStyle="1" w:styleId="Char0">
    <w:name w:val="页脚 Char"/>
    <w:basedOn w:val="a0"/>
    <w:link w:val="a4"/>
    <w:uiPriority w:val="99"/>
    <w:rsid w:val="00CA0B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冯美凤</dc:creator>
  <cp:keywords/>
  <dc:description/>
  <cp:lastModifiedBy>冯美凤</cp:lastModifiedBy>
  <cp:revision>2</cp:revision>
  <dcterms:created xsi:type="dcterms:W3CDTF">2018-12-26T08:57:00Z</dcterms:created>
  <dcterms:modified xsi:type="dcterms:W3CDTF">2018-12-26T08:58:00Z</dcterms:modified>
</cp:coreProperties>
</file>